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城市环境整治项目尾款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83455.75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83455.75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  <w:t>83455.75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2024年完成2023年各类项目尾款支出，及时履行各类项目合同约定内容。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2024年完成2023年各类项目尾款支出，及时履行各类项目合同约定内容。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总分应为90分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完成全部尾款支出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竣工验收后尾款全部支出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4"/>
              <w:tblW w:w="892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28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4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  <w:t>20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  <w:t>20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  <w:t>10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  <w:t>10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  <w:t>20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836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  <w:highlight w:val="none"/>
                    </w:rPr>
                  </w:pPr>
                </w:p>
              </w:tc>
            </w:tr>
          </w:tbl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质保金的支出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工程质量合格，质保期满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指标1：费用支出的时间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及时申请竣工结算，经过评审后及时支出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指标1：评审结束支出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通过评审，支出审定金额，控制经济成本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指标1：各类建设项目成果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完成既定目标，美化环境，提升居民幸福感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指标1：达到项目建设发需求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项目完成率≥90%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含预算执行的总计10分，按实际得分计算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ascii="黑体" w:hAnsi="黑体" w:eastAsia="黑体" w:cs="Times New Roman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0BB1"/>
    <w:rsid w:val="00282039"/>
    <w:rsid w:val="002833CC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1AF7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594C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0B9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774A6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272A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688"/>
    <w:rsid w:val="00C05986"/>
    <w:rsid w:val="00C07514"/>
    <w:rsid w:val="00C07C88"/>
    <w:rsid w:val="00C07DA5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1E7A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1E59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5A640111"/>
    <w:rsid w:val="5F137D37"/>
    <w:rsid w:val="748048A2"/>
    <w:rsid w:val="7A3D6324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866</Words>
  <Characters>937</Characters>
  <Lines>312</Lines>
  <Paragraphs>150</Paragraphs>
  <TotalTime>43</TotalTime>
  <ScaleCrop>false</ScaleCrop>
  <LinksUpToDate>false</LinksUpToDate>
  <CharactersWithSpaces>1653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2025-08-26T01:50:48Z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